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02" w:rsidRDefault="004E4002" w:rsidP="00A839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Cs w:val="24"/>
        </w:rPr>
      </w:pPr>
    </w:p>
    <w:p w:rsidR="004E4002" w:rsidRDefault="004E4002" w:rsidP="00A839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Cs w:val="24"/>
        </w:rPr>
      </w:pPr>
    </w:p>
    <w:p w:rsidR="004E4002" w:rsidRDefault="004E4002" w:rsidP="00A839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Cs w:val="24"/>
        </w:rPr>
      </w:pPr>
    </w:p>
    <w:p w:rsidR="004E4002" w:rsidRDefault="004E4002" w:rsidP="00A839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Cs w:val="24"/>
        </w:rPr>
      </w:pPr>
    </w:p>
    <w:p w:rsidR="004E4002" w:rsidRDefault="004E4002" w:rsidP="00A839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Cs w:val="24"/>
        </w:rPr>
      </w:pPr>
    </w:p>
    <w:p w:rsidR="004E4002" w:rsidRDefault="00CE6362" w:rsidP="00C15E30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</w:rPr>
      </w:pPr>
      <w:r>
        <w:rPr>
          <w:noProof/>
          <w:lang w:eastAsia="en-US"/>
        </w:rPr>
        <w:drawing>
          <wp:inline distT="0" distB="0" distL="0" distR="0" wp14:anchorId="3071E9D4" wp14:editId="1D2432A0">
            <wp:extent cx="5638800" cy="1148644"/>
            <wp:effectExtent l="0" t="0" r="0" b="0"/>
            <wp:docPr id="2" name="Picture 2" descr="G:\Gephardt Professional Staff\Research Manager\Logo_Gephar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phardt Professional Staff\Research Manager\Logo_Gephard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02" w:rsidRDefault="004E4002" w:rsidP="00A839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Cs w:val="24"/>
        </w:rPr>
      </w:pPr>
    </w:p>
    <w:p w:rsidR="00280B05" w:rsidRDefault="00280B05" w:rsidP="00A83967">
      <w:pPr>
        <w:jc w:val="center"/>
        <w:rPr>
          <w:szCs w:val="24"/>
        </w:rPr>
      </w:pPr>
    </w:p>
    <w:p w:rsidR="004E4002" w:rsidRPr="00C15E30" w:rsidRDefault="004E4002" w:rsidP="00A83967">
      <w:pPr>
        <w:jc w:val="center"/>
        <w:rPr>
          <w:sz w:val="48"/>
          <w:szCs w:val="48"/>
        </w:rPr>
      </w:pPr>
    </w:p>
    <w:p w:rsidR="004E4002" w:rsidRPr="00CD006D" w:rsidRDefault="006B0D6D" w:rsidP="00A83967">
      <w:pPr>
        <w:jc w:val="center"/>
        <w:rPr>
          <w:b/>
          <w:sz w:val="48"/>
          <w:szCs w:val="48"/>
        </w:rPr>
      </w:pPr>
      <w:r w:rsidRPr="00CD006D">
        <w:rPr>
          <w:b/>
          <w:sz w:val="48"/>
          <w:szCs w:val="48"/>
        </w:rPr>
        <w:t>Community-</w:t>
      </w:r>
      <w:bookmarkStart w:id="0" w:name="_GoBack"/>
      <w:bookmarkEnd w:id="0"/>
      <w:r w:rsidR="00CE6362" w:rsidRPr="00CD006D">
        <w:rPr>
          <w:b/>
          <w:sz w:val="48"/>
          <w:szCs w:val="48"/>
        </w:rPr>
        <w:t>Engaged Teaching</w:t>
      </w:r>
    </w:p>
    <w:p w:rsidR="004E4002" w:rsidRPr="00C15E30" w:rsidRDefault="004E4002" w:rsidP="00A83967">
      <w:pPr>
        <w:jc w:val="center"/>
        <w:rPr>
          <w:sz w:val="48"/>
          <w:szCs w:val="48"/>
        </w:rPr>
      </w:pPr>
    </w:p>
    <w:p w:rsidR="004E4002" w:rsidRPr="00C15E30" w:rsidRDefault="004E4002" w:rsidP="004E40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8"/>
          <w:szCs w:val="48"/>
        </w:rPr>
      </w:pPr>
      <w:r w:rsidRPr="00C15E30">
        <w:rPr>
          <w:b/>
          <w:bCs/>
          <w:iCs/>
          <w:sz w:val="48"/>
          <w:szCs w:val="48"/>
        </w:rPr>
        <w:t>COMMUNITY PARTNERS</w:t>
      </w:r>
    </w:p>
    <w:p w:rsidR="00B670A0" w:rsidRPr="00C15E30" w:rsidRDefault="004E4002" w:rsidP="00C15E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48"/>
          <w:szCs w:val="48"/>
        </w:rPr>
      </w:pPr>
      <w:r w:rsidRPr="00C15E30">
        <w:rPr>
          <w:b/>
          <w:bCs/>
          <w:iCs/>
          <w:sz w:val="48"/>
          <w:szCs w:val="48"/>
        </w:rPr>
        <w:t>HANDBOOK</w:t>
      </w:r>
    </w:p>
    <w:p w:rsidR="00A83967" w:rsidRPr="00225C64" w:rsidRDefault="00A83967" w:rsidP="00A83967">
      <w:pPr>
        <w:jc w:val="center"/>
        <w:rPr>
          <w:szCs w:val="24"/>
        </w:rPr>
      </w:pPr>
    </w:p>
    <w:p w:rsidR="00A83967" w:rsidRPr="00225C64" w:rsidRDefault="00A83967" w:rsidP="00A83967">
      <w:pPr>
        <w:jc w:val="center"/>
        <w:rPr>
          <w:szCs w:val="24"/>
        </w:rPr>
      </w:pPr>
    </w:p>
    <w:p w:rsidR="00A83967" w:rsidRPr="00225C64" w:rsidRDefault="00A83967" w:rsidP="00A83967">
      <w:pPr>
        <w:jc w:val="center"/>
        <w:rPr>
          <w:szCs w:val="24"/>
        </w:rPr>
      </w:pPr>
    </w:p>
    <w:p w:rsidR="00A83967" w:rsidRDefault="00A83967" w:rsidP="00C15E30">
      <w:pPr>
        <w:jc w:val="center"/>
        <w:rPr>
          <w:noProof/>
          <w:szCs w:val="24"/>
          <w:lang w:eastAsia="en-US"/>
        </w:rPr>
      </w:pPr>
    </w:p>
    <w:p w:rsidR="00A849E0" w:rsidRDefault="00A849E0" w:rsidP="00C15E30">
      <w:pPr>
        <w:jc w:val="center"/>
        <w:rPr>
          <w:noProof/>
          <w:szCs w:val="24"/>
          <w:lang w:eastAsia="en-US"/>
        </w:rPr>
      </w:pPr>
    </w:p>
    <w:p w:rsidR="00A849E0" w:rsidRDefault="00A849E0" w:rsidP="00C15E30">
      <w:pPr>
        <w:jc w:val="center"/>
        <w:rPr>
          <w:noProof/>
          <w:szCs w:val="24"/>
          <w:lang w:eastAsia="en-US"/>
        </w:rPr>
      </w:pPr>
    </w:p>
    <w:p w:rsidR="00A849E0" w:rsidRDefault="00A849E0" w:rsidP="00C15E30">
      <w:pPr>
        <w:jc w:val="center"/>
        <w:rPr>
          <w:noProof/>
          <w:szCs w:val="24"/>
          <w:lang w:eastAsia="en-US"/>
        </w:rPr>
      </w:pPr>
    </w:p>
    <w:p w:rsidR="00A849E0" w:rsidRDefault="00A849E0" w:rsidP="00C15E30">
      <w:pPr>
        <w:jc w:val="center"/>
        <w:rPr>
          <w:noProof/>
          <w:szCs w:val="24"/>
          <w:lang w:eastAsia="en-US"/>
        </w:rPr>
      </w:pPr>
    </w:p>
    <w:p w:rsidR="00A849E0" w:rsidRDefault="00A849E0" w:rsidP="00C15E30">
      <w:pPr>
        <w:jc w:val="center"/>
        <w:rPr>
          <w:noProof/>
          <w:szCs w:val="24"/>
          <w:lang w:eastAsia="en-US"/>
        </w:rPr>
      </w:pPr>
    </w:p>
    <w:p w:rsidR="0071556C" w:rsidRDefault="0071556C" w:rsidP="007B0635">
      <w:pPr>
        <w:rPr>
          <w:szCs w:val="24"/>
        </w:rPr>
      </w:pPr>
    </w:p>
    <w:p w:rsidR="00C15E30" w:rsidRPr="00C15E30" w:rsidRDefault="00C15E30" w:rsidP="007B0635">
      <w:pPr>
        <w:rPr>
          <w:b/>
          <w:sz w:val="28"/>
          <w:szCs w:val="28"/>
        </w:rPr>
      </w:pPr>
      <w:r w:rsidRPr="00C15E30">
        <w:rPr>
          <w:b/>
          <w:sz w:val="28"/>
          <w:szCs w:val="28"/>
        </w:rPr>
        <w:t>Introduction</w:t>
      </w:r>
    </w:p>
    <w:p w:rsidR="007B0635" w:rsidRDefault="007B0635" w:rsidP="007B0635">
      <w:r>
        <w:rPr>
          <w:szCs w:val="24"/>
        </w:rPr>
        <w:t xml:space="preserve">Thank you for your interest in partnering with a Washington University </w:t>
      </w:r>
      <w:r w:rsidR="00CE6362">
        <w:rPr>
          <w:szCs w:val="24"/>
        </w:rPr>
        <w:t>community-engaged</w:t>
      </w:r>
      <w:r>
        <w:rPr>
          <w:szCs w:val="24"/>
        </w:rPr>
        <w:t xml:space="preserve"> teaching </w:t>
      </w:r>
      <w:r w:rsidR="00CE6362">
        <w:rPr>
          <w:szCs w:val="24"/>
        </w:rPr>
        <w:t>(</w:t>
      </w:r>
      <w:r w:rsidR="00887447">
        <w:rPr>
          <w:szCs w:val="24"/>
        </w:rPr>
        <w:t>CET</w:t>
      </w:r>
      <w:r w:rsidR="00CE6362">
        <w:rPr>
          <w:szCs w:val="24"/>
        </w:rPr>
        <w:t>)</w:t>
      </w:r>
      <w:r w:rsidR="0071556C">
        <w:rPr>
          <w:szCs w:val="24"/>
        </w:rPr>
        <w:t xml:space="preserve"> course. </w:t>
      </w:r>
      <w:r>
        <w:rPr>
          <w:szCs w:val="24"/>
        </w:rPr>
        <w:t>Also known as service-learning,</w:t>
      </w:r>
      <w:r w:rsidR="00CE6362">
        <w:rPr>
          <w:szCs w:val="24"/>
        </w:rPr>
        <w:t xml:space="preserve"> distinguishing features of </w:t>
      </w:r>
      <w:r w:rsidR="00887447">
        <w:rPr>
          <w:szCs w:val="24"/>
        </w:rPr>
        <w:t>CET</w:t>
      </w:r>
      <w:r>
        <w:rPr>
          <w:szCs w:val="24"/>
        </w:rPr>
        <w:t xml:space="preserve"> include </w:t>
      </w:r>
      <w:r>
        <w:t xml:space="preserve">targeted learning activities in </w:t>
      </w:r>
      <w:r w:rsidR="0071556C">
        <w:t>a community context</w:t>
      </w:r>
      <w:r>
        <w:t xml:space="preserve">, faculty oversight, and course content </w:t>
      </w:r>
      <w:r w:rsidR="0071556C">
        <w:t>and assignments connected to activities in the community</w:t>
      </w:r>
      <w:proofErr w:type="gramStart"/>
      <w:r>
        <w:t xml:space="preserve">.  </w:t>
      </w:r>
      <w:proofErr w:type="gramEnd"/>
      <w:r>
        <w:t>Th</w:t>
      </w:r>
      <w:r w:rsidR="0071556C">
        <w:t>e University houses over 80</w:t>
      </w:r>
      <w:r w:rsidR="00CE6362">
        <w:t xml:space="preserve"> </w:t>
      </w:r>
      <w:r w:rsidR="00887447">
        <w:t>CET</w:t>
      </w:r>
      <w:r>
        <w:t xml:space="preserve"> course across all disciplines.  </w:t>
      </w:r>
    </w:p>
    <w:p w:rsidR="00C15E30" w:rsidRPr="00C15E30" w:rsidRDefault="00C15E30" w:rsidP="007B0635">
      <w:pPr>
        <w:rPr>
          <w:b/>
          <w:color w:val="000000" w:themeColor="text1"/>
          <w:sz w:val="28"/>
          <w:szCs w:val="28"/>
        </w:rPr>
      </w:pPr>
    </w:p>
    <w:p w:rsidR="00C15E30" w:rsidRPr="00C15E30" w:rsidRDefault="00C15E30" w:rsidP="007B0635">
      <w:pPr>
        <w:rPr>
          <w:b/>
          <w:color w:val="000000" w:themeColor="text1"/>
          <w:sz w:val="28"/>
          <w:szCs w:val="28"/>
        </w:rPr>
      </w:pPr>
      <w:r w:rsidRPr="00C15E30">
        <w:rPr>
          <w:b/>
          <w:color w:val="000000" w:themeColor="text1"/>
          <w:sz w:val="28"/>
          <w:szCs w:val="28"/>
        </w:rPr>
        <w:t>About the Gephardt Institute</w:t>
      </w:r>
    </w:p>
    <w:p w:rsidR="004E4002" w:rsidRPr="004E4002" w:rsidRDefault="004E4002" w:rsidP="007B0635">
      <w:r>
        <w:t xml:space="preserve">The Gephardt Institute for </w:t>
      </w:r>
      <w:r w:rsidR="0006259E">
        <w:t>Civic and Community Engagement</w:t>
      </w:r>
      <w:r>
        <w:t xml:space="preserve"> promotes life-long civic engagement and sustained community impact through </w:t>
      </w:r>
      <w:r w:rsidR="0071556C">
        <w:t xml:space="preserve">community engagement initiatives at Washington University. </w:t>
      </w:r>
      <w:r>
        <w:t xml:space="preserve">The support of </w:t>
      </w:r>
      <w:r w:rsidR="00887447">
        <w:t>CET</w:t>
      </w:r>
      <w:r>
        <w:t xml:space="preserve"> courses and programs is an integral strategy in support of this goal. The Institute provides consulting, technical support, and resources to faculty developing and implementing </w:t>
      </w:r>
      <w:r w:rsidR="00887447">
        <w:t>CET</w:t>
      </w:r>
      <w:r w:rsidR="00CE6362">
        <w:t xml:space="preserve"> </w:t>
      </w:r>
      <w:r>
        <w:t>courses.</w:t>
      </w:r>
    </w:p>
    <w:p w:rsidR="00C15E30" w:rsidRPr="00C15E30" w:rsidRDefault="00C15E30" w:rsidP="007B0635">
      <w:pPr>
        <w:rPr>
          <w:b/>
          <w:sz w:val="28"/>
          <w:szCs w:val="28"/>
        </w:rPr>
      </w:pPr>
    </w:p>
    <w:p w:rsidR="00C15E30" w:rsidRPr="00C15E30" w:rsidRDefault="00C15E30" w:rsidP="007B0635">
      <w:pPr>
        <w:rPr>
          <w:b/>
          <w:sz w:val="28"/>
          <w:szCs w:val="28"/>
        </w:rPr>
      </w:pPr>
      <w:r w:rsidRPr="00C15E30">
        <w:rPr>
          <w:b/>
          <w:sz w:val="28"/>
          <w:szCs w:val="28"/>
        </w:rPr>
        <w:t xml:space="preserve">About </w:t>
      </w:r>
      <w:r w:rsidR="00887447">
        <w:rPr>
          <w:b/>
          <w:sz w:val="28"/>
          <w:szCs w:val="28"/>
        </w:rPr>
        <w:t>CET</w:t>
      </w:r>
    </w:p>
    <w:p w:rsidR="007B0635" w:rsidRPr="000D7FFD" w:rsidRDefault="00887447" w:rsidP="007B0635">
      <w:pPr>
        <w:rPr>
          <w:szCs w:val="24"/>
        </w:rPr>
      </w:pPr>
      <w:r>
        <w:rPr>
          <w:szCs w:val="24"/>
        </w:rPr>
        <w:t>CET</w:t>
      </w:r>
      <w:r w:rsidR="007B0635">
        <w:rPr>
          <w:szCs w:val="24"/>
        </w:rPr>
        <w:t xml:space="preserve"> </w:t>
      </w:r>
      <w:r w:rsidR="00065657">
        <w:rPr>
          <w:szCs w:val="24"/>
        </w:rPr>
        <w:t>courses provide</w:t>
      </w:r>
      <w:r w:rsidR="007B0635">
        <w:rPr>
          <w:szCs w:val="24"/>
        </w:rPr>
        <w:t xml:space="preserve"> students with the opportunity</w:t>
      </w:r>
      <w:r w:rsidR="004E2229">
        <w:rPr>
          <w:szCs w:val="24"/>
        </w:rPr>
        <w:t xml:space="preserve"> to engage with community-based </w:t>
      </w:r>
      <w:r w:rsidR="007B0635">
        <w:rPr>
          <w:szCs w:val="24"/>
        </w:rPr>
        <w:t>organizations to tackle issues and support programming that connects to their acade</w:t>
      </w:r>
      <w:r w:rsidR="0071556C">
        <w:rPr>
          <w:szCs w:val="24"/>
        </w:rPr>
        <w:t xml:space="preserve">mic course work. </w:t>
      </w:r>
      <w:r w:rsidR="00670D27">
        <w:rPr>
          <w:szCs w:val="24"/>
        </w:rPr>
        <w:t xml:space="preserve">Students </w:t>
      </w:r>
      <w:r w:rsidR="007B0635">
        <w:rPr>
          <w:szCs w:val="24"/>
        </w:rPr>
        <w:t xml:space="preserve">gain experience </w:t>
      </w:r>
      <w:r w:rsidR="00670D27">
        <w:rPr>
          <w:szCs w:val="24"/>
        </w:rPr>
        <w:t>and insight into how academic</w:t>
      </w:r>
      <w:r w:rsidR="00065657">
        <w:rPr>
          <w:szCs w:val="24"/>
        </w:rPr>
        <w:t xml:space="preserve"> learning impact real word issues while creating partnerships between th</w:t>
      </w:r>
      <w:r w:rsidR="0071556C">
        <w:rPr>
          <w:szCs w:val="24"/>
        </w:rPr>
        <w:t>e University and the community.</w:t>
      </w:r>
      <w:r w:rsidR="00065657">
        <w:rPr>
          <w:szCs w:val="24"/>
        </w:rPr>
        <w:t xml:space="preserve"> C</w:t>
      </w:r>
      <w:r w:rsidR="007B0635">
        <w:rPr>
          <w:szCs w:val="24"/>
        </w:rPr>
        <w:t>ommunity organizations gain energy, insight, and knowledge of</w:t>
      </w:r>
      <w:r w:rsidR="00065657">
        <w:rPr>
          <w:szCs w:val="24"/>
        </w:rPr>
        <w:t xml:space="preserve"> students who are studying skills and issues related to the needs of the organization. </w:t>
      </w:r>
      <w:r>
        <w:rPr>
          <w:szCs w:val="24"/>
        </w:rPr>
        <w:t>CET</w:t>
      </w:r>
      <w:r w:rsidR="00065657">
        <w:rPr>
          <w:szCs w:val="24"/>
        </w:rPr>
        <w:t xml:space="preserve"> enhances academic learning, encourages civic engagement, builds partnerships between the University and community agencies, and promotes sustained community impact.</w:t>
      </w:r>
    </w:p>
    <w:p w:rsidR="007B0635" w:rsidRPr="00225C64" w:rsidRDefault="007B0635" w:rsidP="007B0635">
      <w:pPr>
        <w:rPr>
          <w:szCs w:val="24"/>
        </w:rPr>
      </w:pPr>
      <w:r>
        <w:t xml:space="preserve">We appreciate your involvement in </w:t>
      </w:r>
      <w:r w:rsidR="00887447">
        <w:t>CET</w:t>
      </w:r>
      <w:r w:rsidR="0071556C">
        <w:t xml:space="preserve"> at Washington University. </w:t>
      </w:r>
      <w:r>
        <w:t>By partnering with a course you are providing students with valuable experiences in</w:t>
      </w:r>
      <w:r w:rsidR="0071556C">
        <w:t xml:space="preserve"> service and learning. </w:t>
      </w:r>
      <w:r w:rsidR="00E63A8F">
        <w:t xml:space="preserve">If you have any questions please feel free to contact us at </w:t>
      </w:r>
      <w:hyperlink r:id="rId13" w:history="1">
        <w:r w:rsidR="00C15E30" w:rsidRPr="00B77CDF">
          <w:rPr>
            <w:rStyle w:val="Hyperlink"/>
          </w:rPr>
          <w:t>gephardtinstitute@wustl.edu</w:t>
        </w:r>
      </w:hyperlink>
      <w:r w:rsidR="00E63A8F">
        <w:t xml:space="preserve">. </w:t>
      </w:r>
    </w:p>
    <w:p w:rsidR="00033269" w:rsidRPr="00225C64" w:rsidRDefault="00033269" w:rsidP="00A83967">
      <w:pPr>
        <w:rPr>
          <w:szCs w:val="24"/>
        </w:rPr>
      </w:pPr>
    </w:p>
    <w:p w:rsidR="00033269" w:rsidRPr="00225C64" w:rsidRDefault="00033269" w:rsidP="00A83967">
      <w:pPr>
        <w:rPr>
          <w:szCs w:val="24"/>
        </w:rPr>
      </w:pPr>
    </w:p>
    <w:p w:rsidR="00033269" w:rsidRPr="00225C64" w:rsidRDefault="00033269" w:rsidP="00A83967">
      <w:pPr>
        <w:rPr>
          <w:szCs w:val="24"/>
        </w:rPr>
      </w:pPr>
    </w:p>
    <w:p w:rsidR="00033269" w:rsidRPr="00225C64" w:rsidRDefault="00033269" w:rsidP="00A83967">
      <w:pPr>
        <w:rPr>
          <w:szCs w:val="24"/>
        </w:rPr>
      </w:pPr>
    </w:p>
    <w:p w:rsidR="00033269" w:rsidRPr="00225C64" w:rsidRDefault="00033269" w:rsidP="00A83967">
      <w:pPr>
        <w:rPr>
          <w:szCs w:val="24"/>
        </w:rPr>
      </w:pPr>
    </w:p>
    <w:p w:rsidR="0071556C" w:rsidRPr="00E22EDF" w:rsidRDefault="0071556C" w:rsidP="0071556C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1" w:name="servicelearning"/>
      <w:bookmarkEnd w:id="1"/>
      <w:r w:rsidRPr="00E22EDF">
        <w:rPr>
          <w:b/>
          <w:bCs/>
          <w:sz w:val="28"/>
          <w:szCs w:val="28"/>
        </w:rPr>
        <w:lastRenderedPageBreak/>
        <w:t>Community-Engaged Teaching Overview</w:t>
      </w:r>
    </w:p>
    <w:p w:rsidR="0071556C" w:rsidRPr="00E22EDF" w:rsidRDefault="0071556C" w:rsidP="0071556C">
      <w:pPr>
        <w:spacing w:after="0" w:line="240" w:lineRule="auto"/>
        <w:rPr>
          <w:szCs w:val="24"/>
        </w:rPr>
      </w:pPr>
    </w:p>
    <w:p w:rsidR="0071556C" w:rsidRPr="00E22EDF" w:rsidRDefault="0071556C" w:rsidP="0071556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What is Community Engagement?</w:t>
      </w:r>
    </w:p>
    <w:p w:rsidR="0071556C" w:rsidRPr="00E22EDF" w:rsidRDefault="0071556C" w:rsidP="0071556C">
      <w:pPr>
        <w:spacing w:after="0" w:line="240" w:lineRule="auto"/>
        <w:rPr>
          <w:szCs w:val="24"/>
        </w:rPr>
      </w:pPr>
      <w:r w:rsidRPr="00E22EDF">
        <w:rPr>
          <w:szCs w:val="24"/>
        </w:rPr>
        <w:t>Community engagement describes collaboration between institutions of higher education and their larger communities (local, regional/state, national, global) for the mutually beneficial exchange of knowledge and resources in a context of partnership and reciprocity.</w:t>
      </w:r>
    </w:p>
    <w:p w:rsidR="0071556C" w:rsidRDefault="0071556C" w:rsidP="0071556C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-Carnegie Classification’s Definition for Community E</w:t>
      </w:r>
      <w:r w:rsidRPr="00E22EDF">
        <w:rPr>
          <w:szCs w:val="24"/>
        </w:rPr>
        <w:t>ngagement</w:t>
      </w:r>
    </w:p>
    <w:p w:rsidR="0071556C" w:rsidRDefault="0071556C" w:rsidP="0071556C">
      <w:pPr>
        <w:spacing w:after="0" w:line="240" w:lineRule="auto"/>
        <w:rPr>
          <w:szCs w:val="24"/>
        </w:rPr>
      </w:pPr>
    </w:p>
    <w:p w:rsidR="0071556C" w:rsidRDefault="0071556C" w:rsidP="0071556C">
      <w:pPr>
        <w:spacing w:after="0" w:line="240" w:lineRule="auto"/>
        <w:rPr>
          <w:b/>
          <w:szCs w:val="24"/>
        </w:rPr>
      </w:pPr>
    </w:p>
    <w:p w:rsidR="0071556C" w:rsidRPr="00E22EDF" w:rsidRDefault="0071556C" w:rsidP="0071556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What is Community-Engaged Teaching?</w:t>
      </w:r>
    </w:p>
    <w:p w:rsidR="0071556C" w:rsidRPr="00E22EDF" w:rsidRDefault="0071556C" w:rsidP="0071556C">
      <w:pPr>
        <w:spacing w:after="0" w:line="240" w:lineRule="auto"/>
        <w:rPr>
          <w:szCs w:val="24"/>
        </w:rPr>
      </w:pPr>
      <w:r>
        <w:rPr>
          <w:szCs w:val="24"/>
        </w:rPr>
        <w:t>It is a</w:t>
      </w:r>
      <w:r w:rsidRPr="00E22EDF">
        <w:rPr>
          <w:szCs w:val="24"/>
        </w:rPr>
        <w:t xml:space="preserve"> form of experiential education where learning occurs through a cycle of action an</w:t>
      </w:r>
      <w:r>
        <w:rPr>
          <w:szCs w:val="24"/>
        </w:rPr>
        <w:t>d reflection, as students…</w:t>
      </w:r>
      <w:r w:rsidRPr="00E22EDF">
        <w:rPr>
          <w:szCs w:val="24"/>
        </w:rPr>
        <w:t>seek to achieve real objectives for the community and deeper understand</w:t>
      </w:r>
      <w:r>
        <w:rPr>
          <w:szCs w:val="24"/>
        </w:rPr>
        <w:t xml:space="preserve">ing and skills for themselves. </w:t>
      </w:r>
      <w:r w:rsidRPr="00E22EDF">
        <w:rPr>
          <w:szCs w:val="24"/>
        </w:rPr>
        <w:t>In the process, students link personal and social development with acade</w:t>
      </w:r>
      <w:r>
        <w:rPr>
          <w:szCs w:val="24"/>
        </w:rPr>
        <w:t>mic and cognitive development.</w:t>
      </w:r>
    </w:p>
    <w:p w:rsidR="0071556C" w:rsidRDefault="0071556C" w:rsidP="0071556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Pr="00E22EDF">
        <w:rPr>
          <w:szCs w:val="24"/>
        </w:rPr>
        <w:t>–Eyler &amp; Giles (1999)</w:t>
      </w:r>
    </w:p>
    <w:p w:rsidR="0071556C" w:rsidRDefault="0071556C" w:rsidP="0071556C">
      <w:pPr>
        <w:spacing w:after="0" w:line="240" w:lineRule="auto"/>
        <w:rPr>
          <w:szCs w:val="24"/>
        </w:rPr>
      </w:pPr>
    </w:p>
    <w:p w:rsidR="0071556C" w:rsidRDefault="0071556C" w:rsidP="0071556C">
      <w:pPr>
        <w:spacing w:after="0" w:line="240" w:lineRule="auto"/>
        <w:rPr>
          <w:b/>
          <w:szCs w:val="24"/>
        </w:rPr>
      </w:pPr>
    </w:p>
    <w:p w:rsidR="0071556C" w:rsidRDefault="0071556C" w:rsidP="0071556C">
      <w:pPr>
        <w:spacing w:after="0" w:line="240" w:lineRule="auto"/>
        <w:rPr>
          <w:szCs w:val="24"/>
        </w:rPr>
      </w:pPr>
      <w:r>
        <w:rPr>
          <w:b/>
          <w:szCs w:val="24"/>
        </w:rPr>
        <w:t>Core Principles of Community-Engaged Teaching</w:t>
      </w:r>
    </w:p>
    <w:p w:rsidR="0071556C" w:rsidRPr="00C22466" w:rsidRDefault="0071556C" w:rsidP="0071556C">
      <w:pPr>
        <w:pStyle w:val="ListParagraph"/>
        <w:numPr>
          <w:ilvl w:val="0"/>
          <w:numId w:val="21"/>
        </w:numPr>
      </w:pPr>
      <w:r>
        <w:t>Reciprocal partnership and mutual benefit to all participants</w:t>
      </w:r>
    </w:p>
    <w:p w:rsidR="0071556C" w:rsidRPr="00C22466" w:rsidRDefault="0071556C" w:rsidP="0071556C">
      <w:pPr>
        <w:pStyle w:val="ListParagraph"/>
        <w:numPr>
          <w:ilvl w:val="0"/>
          <w:numId w:val="21"/>
        </w:numPr>
      </w:pPr>
      <w:r>
        <w:t>Open and intentional c</w:t>
      </w:r>
      <w:r w:rsidRPr="00C22466">
        <w:t>ommunication</w:t>
      </w:r>
    </w:p>
    <w:p w:rsidR="0071556C" w:rsidRPr="00C22466" w:rsidRDefault="0071556C" w:rsidP="0071556C">
      <w:pPr>
        <w:pStyle w:val="ListParagraph"/>
        <w:numPr>
          <w:ilvl w:val="0"/>
          <w:numId w:val="21"/>
        </w:numPr>
      </w:pPr>
      <w:r>
        <w:t>Cultural humility and self-awareness</w:t>
      </w:r>
      <w:r w:rsidRPr="00C22466">
        <w:t xml:space="preserve"> </w:t>
      </w:r>
    </w:p>
    <w:p w:rsidR="0071556C" w:rsidRPr="00C22466" w:rsidRDefault="0071556C" w:rsidP="0071556C">
      <w:pPr>
        <w:pStyle w:val="ListParagraph"/>
        <w:numPr>
          <w:ilvl w:val="0"/>
          <w:numId w:val="21"/>
        </w:numPr>
      </w:pPr>
      <w:r>
        <w:t>Balancing community needs and pedagogical g</w:t>
      </w:r>
      <w:r w:rsidRPr="00C22466">
        <w:t xml:space="preserve">oals </w:t>
      </w:r>
    </w:p>
    <w:p w:rsidR="0071556C" w:rsidRPr="00C22466" w:rsidRDefault="0071556C" w:rsidP="0071556C">
      <w:pPr>
        <w:pStyle w:val="ListParagraph"/>
        <w:numPr>
          <w:ilvl w:val="0"/>
          <w:numId w:val="21"/>
        </w:numPr>
      </w:pPr>
      <w:r>
        <w:t>Respect for the h</w:t>
      </w:r>
      <w:r w:rsidRPr="00C22466">
        <w:t>istory</w:t>
      </w:r>
      <w:r>
        <w:t xml:space="preserve"> of organizations, partnerships, and university-community relations</w:t>
      </w:r>
    </w:p>
    <w:p w:rsidR="0071556C" w:rsidRDefault="0071556C" w:rsidP="0071556C">
      <w:pPr>
        <w:pStyle w:val="ListParagraph"/>
        <w:numPr>
          <w:ilvl w:val="0"/>
          <w:numId w:val="21"/>
        </w:numPr>
      </w:pPr>
      <w:r w:rsidRPr="00C22466">
        <w:t>Reflection</w:t>
      </w:r>
      <w:r>
        <w:t xml:space="preserve"> on the part of students and community partners</w:t>
      </w:r>
    </w:p>
    <w:p w:rsidR="0071556C" w:rsidRPr="00F36C68" w:rsidRDefault="0071556C" w:rsidP="0071556C">
      <w:pPr>
        <w:pStyle w:val="ListParagraph"/>
        <w:numPr>
          <w:ilvl w:val="0"/>
          <w:numId w:val="21"/>
        </w:numPr>
      </w:pPr>
      <w:r>
        <w:t>Assessment and evaluation of student learning and community impact</w:t>
      </w:r>
    </w:p>
    <w:p w:rsidR="0071556C" w:rsidRDefault="0071556C" w:rsidP="0071556C">
      <w:pPr>
        <w:spacing w:after="0" w:line="240" w:lineRule="auto"/>
        <w:rPr>
          <w:b/>
          <w:szCs w:val="24"/>
        </w:rPr>
      </w:pPr>
    </w:p>
    <w:p w:rsidR="0071556C" w:rsidRDefault="0071556C" w:rsidP="0071556C">
      <w:pPr>
        <w:spacing w:after="0" w:line="240" w:lineRule="auto"/>
        <w:rPr>
          <w:b/>
          <w:szCs w:val="24"/>
        </w:rPr>
      </w:pPr>
    </w:p>
    <w:p w:rsidR="0071556C" w:rsidRPr="00E22EDF" w:rsidRDefault="0071556C" w:rsidP="0071556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Core Components of Community-Engaged Teaching</w:t>
      </w:r>
    </w:p>
    <w:p w:rsidR="0071556C" w:rsidRDefault="0071556C" w:rsidP="0071556C">
      <w:pPr>
        <w:pStyle w:val="ListParagraph"/>
        <w:numPr>
          <w:ilvl w:val="0"/>
          <w:numId w:val="20"/>
        </w:numPr>
      </w:pPr>
      <w:r>
        <w:t>Faculty oversight</w:t>
      </w:r>
    </w:p>
    <w:p w:rsidR="0071556C" w:rsidRDefault="0071556C" w:rsidP="0071556C">
      <w:pPr>
        <w:pStyle w:val="ListParagraph"/>
        <w:numPr>
          <w:ilvl w:val="1"/>
          <w:numId w:val="20"/>
        </w:numPr>
      </w:pPr>
      <w:r>
        <w:t>Faculty ensures that CET activities are mutually beneficial to the community and students’ learning.</w:t>
      </w:r>
    </w:p>
    <w:p w:rsidR="0071556C" w:rsidRDefault="0071556C" w:rsidP="0071556C">
      <w:pPr>
        <w:pStyle w:val="ListParagraph"/>
        <w:numPr>
          <w:ilvl w:val="1"/>
          <w:numId w:val="20"/>
        </w:numPr>
      </w:pPr>
      <w:r>
        <w:t>Faculty ensures that students have the resources, skills, and knowledge necessary to engage in community contexts.</w:t>
      </w:r>
    </w:p>
    <w:p w:rsidR="0071556C" w:rsidRDefault="0071556C" w:rsidP="0071556C">
      <w:pPr>
        <w:pStyle w:val="ListParagraph"/>
        <w:numPr>
          <w:ilvl w:val="1"/>
          <w:numId w:val="20"/>
        </w:numPr>
      </w:pPr>
      <w:proofErr w:type="gramStart"/>
      <w:r>
        <w:t>Faculty are</w:t>
      </w:r>
      <w:proofErr w:type="gramEnd"/>
      <w:r>
        <w:t xml:space="preserve"> available to community partners to discuss projects.</w:t>
      </w:r>
      <w:r>
        <w:br/>
      </w:r>
    </w:p>
    <w:p w:rsidR="0071556C" w:rsidRDefault="0071556C" w:rsidP="0071556C">
      <w:pPr>
        <w:pStyle w:val="ListParagraph"/>
        <w:numPr>
          <w:ilvl w:val="0"/>
          <w:numId w:val="20"/>
        </w:numPr>
      </w:pPr>
      <w:r>
        <w:t>Targeted learning activities in a community context</w:t>
      </w:r>
    </w:p>
    <w:p w:rsidR="0071556C" w:rsidRDefault="0071556C" w:rsidP="0071556C">
      <w:pPr>
        <w:pStyle w:val="ListParagraph"/>
        <w:numPr>
          <w:ilvl w:val="1"/>
          <w:numId w:val="20"/>
        </w:numPr>
      </w:pPr>
      <w:r>
        <w:t>Faculty and staff work with community representatives to develop experiences or projects that connect to the learning objectives of the course and support the mission or programming of the organization.</w:t>
      </w:r>
    </w:p>
    <w:p w:rsidR="0071556C" w:rsidRDefault="0071556C" w:rsidP="0071556C">
      <w:pPr>
        <w:pStyle w:val="ListParagraph"/>
        <w:numPr>
          <w:ilvl w:val="1"/>
          <w:numId w:val="20"/>
        </w:numPr>
      </w:pPr>
      <w:r>
        <w:t>Students draw on course content to achieve the goals of the community engagement.</w:t>
      </w:r>
      <w:r>
        <w:br/>
      </w:r>
    </w:p>
    <w:p w:rsidR="0071556C" w:rsidRDefault="0071556C" w:rsidP="0071556C">
      <w:pPr>
        <w:pStyle w:val="ListParagraph"/>
        <w:numPr>
          <w:ilvl w:val="0"/>
          <w:numId w:val="20"/>
        </w:numPr>
      </w:pPr>
      <w:r>
        <w:t>Course content and assignments connected to activities in the community</w:t>
      </w:r>
    </w:p>
    <w:p w:rsidR="0071556C" w:rsidRDefault="0071556C" w:rsidP="0071556C">
      <w:pPr>
        <w:pStyle w:val="ListParagraph"/>
        <w:numPr>
          <w:ilvl w:val="1"/>
          <w:numId w:val="20"/>
        </w:numPr>
      </w:pPr>
      <w:r>
        <w:t>Courses include readings and assignments that provide students with skills and knowledge that applies to community engagement.</w:t>
      </w:r>
    </w:p>
    <w:p w:rsidR="0071556C" w:rsidRDefault="0071556C" w:rsidP="0071556C">
      <w:pPr>
        <w:pStyle w:val="ListParagraph"/>
        <w:numPr>
          <w:ilvl w:val="1"/>
          <w:numId w:val="20"/>
        </w:numPr>
      </w:pPr>
      <w:r>
        <w:t>Course content and assignments provide students with the opportunity to make connections and critically analyze how the academic component and community components of the course align.</w:t>
      </w:r>
    </w:p>
    <w:p w:rsidR="0071556C" w:rsidRPr="00F36C68" w:rsidRDefault="0071556C" w:rsidP="0071556C">
      <w:pPr>
        <w:pStyle w:val="ListParagraph"/>
        <w:numPr>
          <w:ilvl w:val="1"/>
          <w:numId w:val="20"/>
        </w:numPr>
      </w:pPr>
      <w:r>
        <w:t xml:space="preserve">Course content and assignments provide students with opportunities for structured reflection on their community experience. </w:t>
      </w:r>
    </w:p>
    <w:p w:rsidR="00005BC5" w:rsidRDefault="00005BC5" w:rsidP="00E656C6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71556C" w:rsidRDefault="0071556C" w:rsidP="00E656C6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E7E48" w:rsidRDefault="00670D27" w:rsidP="00E656C6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Expectations of Community Partners</w:t>
      </w:r>
    </w:p>
    <w:p w:rsidR="00E656C6" w:rsidRPr="00B00E53" w:rsidRDefault="00E656C6" w:rsidP="00E656C6">
      <w:pPr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0E7E48" w:rsidRPr="00005BC5" w:rsidRDefault="000E7E48" w:rsidP="000E7E48">
      <w:pPr>
        <w:rPr>
          <w:b/>
          <w:szCs w:val="24"/>
        </w:rPr>
      </w:pPr>
      <w:r w:rsidRPr="00005BC5">
        <w:rPr>
          <w:b/>
          <w:szCs w:val="24"/>
        </w:rPr>
        <w:t xml:space="preserve">Remember </w:t>
      </w:r>
      <w:r w:rsidR="00EB6BFC" w:rsidRPr="00005BC5">
        <w:rPr>
          <w:b/>
          <w:szCs w:val="24"/>
        </w:rPr>
        <w:t xml:space="preserve">students involved in </w:t>
      </w:r>
      <w:r w:rsidR="00887447">
        <w:rPr>
          <w:b/>
          <w:szCs w:val="24"/>
        </w:rPr>
        <w:t>CET</w:t>
      </w:r>
      <w:r w:rsidR="00EB6BFC" w:rsidRPr="00005BC5">
        <w:rPr>
          <w:b/>
          <w:szCs w:val="24"/>
        </w:rPr>
        <w:t xml:space="preserve"> service are learning</w:t>
      </w:r>
      <w:r w:rsidR="0006259E">
        <w:rPr>
          <w:b/>
          <w:szCs w:val="24"/>
        </w:rPr>
        <w:t>.</w:t>
      </w:r>
    </w:p>
    <w:p w:rsidR="00670D27" w:rsidRDefault="00670D27" w:rsidP="000E7E48">
      <w:pPr>
        <w:rPr>
          <w:szCs w:val="24"/>
        </w:rPr>
      </w:pPr>
      <w:r>
        <w:rPr>
          <w:szCs w:val="24"/>
        </w:rPr>
        <w:t xml:space="preserve">Students in </w:t>
      </w:r>
      <w:r w:rsidR="00887447">
        <w:rPr>
          <w:szCs w:val="24"/>
        </w:rPr>
        <w:t>CET</w:t>
      </w:r>
      <w:r>
        <w:rPr>
          <w:szCs w:val="24"/>
        </w:rPr>
        <w:t xml:space="preserve"> courses are connecting the service component of the course to the academic component if the course. Students may ask questions about the organizational structure, the client population,</w:t>
      </w:r>
      <w:r w:rsidR="004E2229">
        <w:rPr>
          <w:szCs w:val="24"/>
        </w:rPr>
        <w:t xml:space="preserve"> and systemic issues facing organizations to</w:t>
      </w:r>
      <w:r>
        <w:rPr>
          <w:szCs w:val="24"/>
        </w:rPr>
        <w:t xml:space="preserve"> integrate their learning.</w:t>
      </w:r>
    </w:p>
    <w:p w:rsidR="000E7E48" w:rsidRPr="00005BC5" w:rsidRDefault="00C15E30" w:rsidP="000E7E48">
      <w:pPr>
        <w:rPr>
          <w:b/>
          <w:szCs w:val="24"/>
        </w:rPr>
      </w:pPr>
      <w:r>
        <w:rPr>
          <w:b/>
          <w:szCs w:val="24"/>
        </w:rPr>
        <w:t>Provide an o</w:t>
      </w:r>
      <w:r w:rsidR="000E7E48" w:rsidRPr="00005BC5">
        <w:rPr>
          <w:b/>
          <w:szCs w:val="24"/>
        </w:rPr>
        <w:t>rientation</w:t>
      </w:r>
    </w:p>
    <w:p w:rsidR="000E7E48" w:rsidRPr="00225C64" w:rsidRDefault="000E7E48" w:rsidP="000E7E48">
      <w:pPr>
        <w:rPr>
          <w:szCs w:val="24"/>
        </w:rPr>
      </w:pPr>
      <w:r w:rsidRPr="00225C64">
        <w:rPr>
          <w:szCs w:val="24"/>
        </w:rPr>
        <w:t xml:space="preserve">Students should be given a good, structured orientation to your agency, staff, and clients and should be familiarized with the mission and philosophy of your agency. </w:t>
      </w:r>
    </w:p>
    <w:p w:rsidR="000E7E48" w:rsidRPr="00005BC5" w:rsidRDefault="000E7E48" w:rsidP="000E7E48">
      <w:pPr>
        <w:ind w:left="360"/>
        <w:rPr>
          <w:szCs w:val="24"/>
          <w:u w:val="single"/>
        </w:rPr>
      </w:pPr>
      <w:r w:rsidRPr="00005BC5">
        <w:rPr>
          <w:szCs w:val="24"/>
          <w:u w:val="single"/>
        </w:rPr>
        <w:t>Tips for Provi</w:t>
      </w:r>
      <w:r w:rsidR="00037A54" w:rsidRPr="00005BC5">
        <w:rPr>
          <w:szCs w:val="24"/>
          <w:u w:val="single"/>
        </w:rPr>
        <w:t>ding a Successful Orientation</w:t>
      </w:r>
    </w:p>
    <w:p w:rsidR="000E7E48" w:rsidRPr="00225C64" w:rsidRDefault="000E7E48" w:rsidP="000E7E48">
      <w:pPr>
        <w:ind w:left="360"/>
        <w:rPr>
          <w:szCs w:val="24"/>
        </w:rPr>
      </w:pPr>
      <w:r w:rsidRPr="00225C64">
        <w:rPr>
          <w:szCs w:val="24"/>
        </w:rPr>
        <w:t>A thorough orientation should make students feel confident and knowledgeable about their roles and duties at your agency. The orientation should include the following, if applicable:</w:t>
      </w:r>
    </w:p>
    <w:p w:rsidR="000E7E48" w:rsidRPr="00225C64" w:rsidRDefault="000E7E48" w:rsidP="000E7E4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225C64">
        <w:rPr>
          <w:szCs w:val="24"/>
        </w:rPr>
        <w:t>A tour of the facility</w:t>
      </w:r>
      <w:r w:rsidR="00225C64">
        <w:rPr>
          <w:szCs w:val="24"/>
        </w:rPr>
        <w:t>.</w:t>
      </w:r>
    </w:p>
    <w:p w:rsidR="000E7E48" w:rsidRPr="00225C64" w:rsidRDefault="000E7E48" w:rsidP="000E7E4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225C64">
        <w:rPr>
          <w:szCs w:val="24"/>
        </w:rPr>
        <w:t>An introduction to staff and directors</w:t>
      </w:r>
      <w:r w:rsidR="00225C64">
        <w:rPr>
          <w:szCs w:val="24"/>
        </w:rPr>
        <w:t>.</w:t>
      </w:r>
    </w:p>
    <w:p w:rsidR="000E7E48" w:rsidRPr="00225C64" w:rsidRDefault="000E7E48" w:rsidP="000E7E4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225C64">
        <w:rPr>
          <w:szCs w:val="24"/>
        </w:rPr>
        <w:t>A review of rules, regulations, and policies (topics such as parking and safety should be discussed)</w:t>
      </w:r>
      <w:r w:rsidR="00225C64">
        <w:rPr>
          <w:szCs w:val="24"/>
        </w:rPr>
        <w:t>.</w:t>
      </w:r>
    </w:p>
    <w:p w:rsidR="000E7E48" w:rsidRPr="00225C64" w:rsidRDefault="000E7E48" w:rsidP="000E7E4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225C64">
        <w:rPr>
          <w:szCs w:val="24"/>
        </w:rPr>
        <w:t xml:space="preserve">A discussion of </w:t>
      </w:r>
      <w:r w:rsidR="00EB6BFC" w:rsidRPr="00225C64">
        <w:rPr>
          <w:szCs w:val="24"/>
        </w:rPr>
        <w:t>the duties and responsibilities of the student</w:t>
      </w:r>
      <w:r w:rsidR="00225C64">
        <w:rPr>
          <w:szCs w:val="24"/>
        </w:rPr>
        <w:t>.</w:t>
      </w:r>
    </w:p>
    <w:p w:rsidR="000E7E48" w:rsidRDefault="000E7E48" w:rsidP="000E7E4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225C64">
        <w:rPr>
          <w:szCs w:val="24"/>
        </w:rPr>
        <w:t xml:space="preserve">An explanation of the </w:t>
      </w:r>
      <w:r w:rsidR="00EB6BFC" w:rsidRPr="00225C64">
        <w:rPr>
          <w:szCs w:val="24"/>
        </w:rPr>
        <w:t>communication structures</w:t>
      </w:r>
      <w:r w:rsidR="00225C64">
        <w:rPr>
          <w:szCs w:val="24"/>
        </w:rPr>
        <w:t>.</w:t>
      </w:r>
    </w:p>
    <w:p w:rsidR="00225C64" w:rsidRPr="00225C64" w:rsidRDefault="00225C64" w:rsidP="000E7E48">
      <w:pPr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A discussion of the Board of Directors and attendance at a Board of Directors meeting.</w:t>
      </w:r>
    </w:p>
    <w:p w:rsidR="0071556C" w:rsidRPr="00225C64" w:rsidRDefault="0071556C" w:rsidP="00C15E30">
      <w:pPr>
        <w:spacing w:after="0" w:line="240" w:lineRule="auto"/>
        <w:rPr>
          <w:szCs w:val="24"/>
        </w:rPr>
      </w:pPr>
    </w:p>
    <w:p w:rsidR="00EB471C" w:rsidRPr="00005BC5" w:rsidRDefault="00EB471C" w:rsidP="000E7E48">
      <w:pPr>
        <w:rPr>
          <w:b/>
          <w:szCs w:val="24"/>
        </w:rPr>
      </w:pPr>
      <w:r w:rsidRPr="00005BC5">
        <w:rPr>
          <w:b/>
          <w:szCs w:val="24"/>
        </w:rPr>
        <w:t>Ensure students have adequate supervision</w:t>
      </w:r>
    </w:p>
    <w:p w:rsidR="00EB471C" w:rsidRPr="00225C64" w:rsidRDefault="00EB471C" w:rsidP="00EB471C">
      <w:pPr>
        <w:rPr>
          <w:szCs w:val="24"/>
        </w:rPr>
      </w:pPr>
      <w:r w:rsidRPr="00225C64">
        <w:rPr>
          <w:szCs w:val="24"/>
        </w:rPr>
        <w:t xml:space="preserve">The relationship between supervisor and student is vital to achieving the goals of the </w:t>
      </w:r>
      <w:r w:rsidR="00CE6362">
        <w:rPr>
          <w:szCs w:val="24"/>
        </w:rPr>
        <w:t>community-engaged teaching</w:t>
      </w:r>
      <w:r w:rsidRPr="00225C64">
        <w:rPr>
          <w:szCs w:val="24"/>
        </w:rPr>
        <w:t xml:space="preserve"> partnership. As a supervisor, you may be the student's first contact with serving in his/her communit</w:t>
      </w:r>
      <w:r w:rsidR="00E656C6">
        <w:rPr>
          <w:szCs w:val="24"/>
        </w:rPr>
        <w:t>y. Alongside their academic learning, s</w:t>
      </w:r>
      <w:r w:rsidRPr="00225C64">
        <w:rPr>
          <w:szCs w:val="24"/>
        </w:rPr>
        <w:t>tudent</w:t>
      </w:r>
      <w:r w:rsidR="00E656C6">
        <w:rPr>
          <w:szCs w:val="24"/>
        </w:rPr>
        <w:t>s</w:t>
      </w:r>
      <w:r w:rsidRPr="00225C64">
        <w:rPr>
          <w:szCs w:val="24"/>
        </w:rPr>
        <w:t xml:space="preserve"> will develop the skills, attitudes and knowledge necessary to achieve project goals</w:t>
      </w:r>
      <w:r w:rsidR="00EB6BFC" w:rsidRPr="00225C64">
        <w:rPr>
          <w:szCs w:val="24"/>
        </w:rPr>
        <w:t xml:space="preserve"> and understand the role of volunteer service in community-based organizations</w:t>
      </w:r>
      <w:r w:rsidRPr="00225C64">
        <w:rPr>
          <w:szCs w:val="24"/>
        </w:rPr>
        <w:t>. The supervisor is considered to be a partner in the student's education during his/her experience.</w:t>
      </w:r>
    </w:p>
    <w:p w:rsidR="0071556C" w:rsidRDefault="00EB471C" w:rsidP="00EB471C">
      <w:pPr>
        <w:rPr>
          <w:szCs w:val="24"/>
        </w:rPr>
      </w:pPr>
      <w:r w:rsidRPr="00225C64">
        <w:rPr>
          <w:szCs w:val="24"/>
        </w:rPr>
        <w:tab/>
      </w:r>
    </w:p>
    <w:p w:rsidR="0071556C" w:rsidRDefault="0071556C" w:rsidP="00EB471C">
      <w:pPr>
        <w:rPr>
          <w:szCs w:val="24"/>
        </w:rPr>
      </w:pPr>
    </w:p>
    <w:p w:rsidR="00EB471C" w:rsidRPr="00005BC5" w:rsidRDefault="00EB471C" w:rsidP="00EB471C">
      <w:pPr>
        <w:rPr>
          <w:szCs w:val="24"/>
          <w:u w:val="single"/>
        </w:rPr>
      </w:pPr>
      <w:r w:rsidRPr="00005BC5">
        <w:rPr>
          <w:szCs w:val="24"/>
          <w:u w:val="single"/>
        </w:rPr>
        <w:t>Tips for successful supervision</w:t>
      </w:r>
    </w:p>
    <w:p w:rsidR="00010428" w:rsidRPr="00225C64" w:rsidRDefault="0071556C" w:rsidP="00EB471C">
      <w:pPr>
        <w:pStyle w:val="ListParagraph"/>
        <w:numPr>
          <w:ilvl w:val="0"/>
          <w:numId w:val="12"/>
        </w:numPr>
      </w:pPr>
      <w:r>
        <w:t xml:space="preserve">Set realistic expectations. </w:t>
      </w:r>
      <w:r w:rsidR="00EB6BFC" w:rsidRPr="00225C64">
        <w:t xml:space="preserve">Remember that you will have to be aware of the semester schedule and adapt accordingly (offer training sessions during the early part of the semester and expect students for only </w:t>
      </w:r>
      <w:r w:rsidR="00E656C6">
        <w:t>10-12</w:t>
      </w:r>
      <w:r w:rsidR="00EB6BFC" w:rsidRPr="00225C64">
        <w:t xml:space="preserve"> weeks at the most).</w:t>
      </w:r>
    </w:p>
    <w:p w:rsidR="00EB471C" w:rsidRDefault="00D16FD0" w:rsidP="00EB471C">
      <w:pPr>
        <w:pStyle w:val="ListParagraph"/>
        <w:numPr>
          <w:ilvl w:val="0"/>
          <w:numId w:val="12"/>
        </w:numPr>
      </w:pPr>
      <w:r>
        <w:lastRenderedPageBreak/>
        <w:t>Develop</w:t>
      </w:r>
      <w:r w:rsidR="00EB471C" w:rsidRPr="00225C64">
        <w:t xml:space="preserve"> a communication plan with students</w:t>
      </w:r>
      <w:proofErr w:type="gramStart"/>
      <w:r w:rsidR="00EB471C" w:rsidRPr="00225C64">
        <w:t xml:space="preserve">.  </w:t>
      </w:r>
      <w:proofErr w:type="gramEnd"/>
      <w:r w:rsidR="00EB471C" w:rsidRPr="00225C64">
        <w:t>The communication plan should include key points of contact, a reporting timeline, and best methods for communication.</w:t>
      </w:r>
    </w:p>
    <w:p w:rsidR="00037A54" w:rsidRPr="00225C64" w:rsidRDefault="00037A54" w:rsidP="00EB471C">
      <w:pPr>
        <w:pStyle w:val="ListParagraph"/>
        <w:numPr>
          <w:ilvl w:val="0"/>
          <w:numId w:val="12"/>
        </w:numPr>
      </w:pPr>
      <w:r>
        <w:t>Develop a work plan for students including work plan and hours.</w:t>
      </w:r>
    </w:p>
    <w:p w:rsidR="00EB471C" w:rsidRPr="00225C64" w:rsidRDefault="00EB471C" w:rsidP="00EB471C">
      <w:pPr>
        <w:pStyle w:val="ListParagraph"/>
        <w:numPr>
          <w:ilvl w:val="0"/>
          <w:numId w:val="12"/>
        </w:numPr>
      </w:pPr>
      <w:r w:rsidRPr="00225C64">
        <w:t>Ensure students have the access to the information they need to complete the project.</w:t>
      </w:r>
    </w:p>
    <w:p w:rsidR="00EB471C" w:rsidRPr="00225C64" w:rsidRDefault="00EB471C" w:rsidP="00EB471C">
      <w:pPr>
        <w:pStyle w:val="ListParagraph"/>
        <w:numPr>
          <w:ilvl w:val="0"/>
          <w:numId w:val="12"/>
        </w:numPr>
      </w:pPr>
      <w:r w:rsidRPr="00225C64">
        <w:t>Hold student</w:t>
      </w:r>
      <w:r w:rsidR="00E656C6">
        <w:t>s</w:t>
      </w:r>
      <w:r w:rsidRPr="00225C64">
        <w:t xml:space="preserve"> accountable for their work.</w:t>
      </w:r>
    </w:p>
    <w:p w:rsidR="007252A2" w:rsidRPr="00225C64" w:rsidRDefault="007252A2" w:rsidP="00EB471C">
      <w:pPr>
        <w:pStyle w:val="ListParagraph"/>
        <w:numPr>
          <w:ilvl w:val="0"/>
          <w:numId w:val="12"/>
        </w:numPr>
      </w:pPr>
      <w:r w:rsidRPr="00225C64">
        <w:t>Help student</w:t>
      </w:r>
      <w:r w:rsidR="0071556C">
        <w:t xml:space="preserve">s understand their experience. </w:t>
      </w:r>
      <w:r w:rsidRPr="00225C64">
        <w:t xml:space="preserve">Discuss challenges and </w:t>
      </w:r>
      <w:r w:rsidR="00E656C6" w:rsidRPr="00225C64">
        <w:t>successes;</w:t>
      </w:r>
      <w:r w:rsidRPr="00225C64">
        <w:t xml:space="preserve"> be open to questions about the organization, community, and client population.</w:t>
      </w:r>
    </w:p>
    <w:p w:rsidR="007252A2" w:rsidRPr="00225C64" w:rsidRDefault="007252A2" w:rsidP="00EB471C">
      <w:pPr>
        <w:pStyle w:val="ListParagraph"/>
        <w:numPr>
          <w:ilvl w:val="0"/>
          <w:numId w:val="12"/>
        </w:numPr>
      </w:pPr>
      <w:r w:rsidRPr="00225C64">
        <w:t>Acknowledge students contributions to your organization: celebrate successes, thank students for their contributions, and let</w:t>
      </w:r>
      <w:r w:rsidR="00010428" w:rsidRPr="00225C64">
        <w:t xml:space="preserve"> them know how you will use their work.</w:t>
      </w:r>
    </w:p>
    <w:p w:rsidR="0040359A" w:rsidRDefault="0040359A" w:rsidP="000E7E48">
      <w:pPr>
        <w:rPr>
          <w:b/>
          <w:sz w:val="28"/>
          <w:szCs w:val="28"/>
        </w:rPr>
      </w:pPr>
    </w:p>
    <w:p w:rsidR="00F43F82" w:rsidRDefault="00F43F82" w:rsidP="000E7E48">
      <w:pPr>
        <w:rPr>
          <w:b/>
          <w:sz w:val="28"/>
          <w:szCs w:val="28"/>
        </w:rPr>
      </w:pPr>
      <w:r w:rsidRPr="00B00E53">
        <w:rPr>
          <w:b/>
          <w:sz w:val="28"/>
          <w:szCs w:val="28"/>
        </w:rPr>
        <w:t>Contact Information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Gephardt Institute for Civic and Community Engagement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 xml:space="preserve">Danforth University Center, Suite 150 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Washington University in St. Louis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Phone: 314-935-5599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Fax: 314-935-6609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E-mail: gephardtinstitute@wustl.edu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Matthew Bakko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Research Manager and Instructional Specialist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Gephardt Institute for Civic and Community Engagement</w:t>
      </w:r>
    </w:p>
    <w:p w:rsidR="0071556C" w:rsidRPr="0071556C" w:rsidRDefault="0071556C" w:rsidP="0071556C">
      <w:pPr>
        <w:spacing w:after="0" w:line="240" w:lineRule="auto"/>
        <w:rPr>
          <w:sz w:val="28"/>
          <w:szCs w:val="28"/>
        </w:rPr>
      </w:pPr>
      <w:r w:rsidRPr="0071556C">
        <w:rPr>
          <w:sz w:val="28"/>
          <w:szCs w:val="28"/>
        </w:rPr>
        <w:t>Phone: 314-935-8182</w:t>
      </w:r>
    </w:p>
    <w:p w:rsidR="00225C64" w:rsidRPr="0071556C" w:rsidRDefault="0071556C" w:rsidP="00715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Email: matthewbakko@wustl.edu  </w:t>
      </w:r>
    </w:p>
    <w:sectPr w:rsidR="00225C64" w:rsidRPr="0071556C" w:rsidSect="00B00E53">
      <w:footerReference w:type="default" r:id="rId1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1F" w:rsidRDefault="001B261F" w:rsidP="009E6134">
      <w:pPr>
        <w:spacing w:after="0" w:line="240" w:lineRule="auto"/>
      </w:pPr>
      <w:r>
        <w:separator/>
      </w:r>
    </w:p>
  </w:endnote>
  <w:endnote w:type="continuationSeparator" w:id="0">
    <w:p w:rsidR="001B261F" w:rsidRDefault="001B261F" w:rsidP="009E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9719"/>
      <w:docPartObj>
        <w:docPartGallery w:val="Page Numbers (Bottom of Page)"/>
        <w:docPartUnique/>
      </w:docPartObj>
    </w:sdtPr>
    <w:sdtEndPr/>
    <w:sdtContent>
      <w:p w:rsidR="00502EF8" w:rsidRDefault="00571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EF8" w:rsidRDefault="00502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1F" w:rsidRDefault="001B261F" w:rsidP="009E6134">
      <w:pPr>
        <w:spacing w:after="0" w:line="240" w:lineRule="auto"/>
      </w:pPr>
      <w:r>
        <w:separator/>
      </w:r>
    </w:p>
  </w:footnote>
  <w:footnote w:type="continuationSeparator" w:id="0">
    <w:p w:rsidR="001B261F" w:rsidRDefault="001B261F" w:rsidP="009E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46"/>
    <w:multiLevelType w:val="hybridMultilevel"/>
    <w:tmpl w:val="FE745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2BCD"/>
    <w:multiLevelType w:val="hybridMultilevel"/>
    <w:tmpl w:val="111E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639"/>
    <w:multiLevelType w:val="multilevel"/>
    <w:tmpl w:val="942C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75550"/>
    <w:multiLevelType w:val="hybridMultilevel"/>
    <w:tmpl w:val="6076F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7D6011"/>
    <w:multiLevelType w:val="hybridMultilevel"/>
    <w:tmpl w:val="368C2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3B3B8A"/>
    <w:multiLevelType w:val="hybridMultilevel"/>
    <w:tmpl w:val="DC54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F6C61"/>
    <w:multiLevelType w:val="hybridMultilevel"/>
    <w:tmpl w:val="298C3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3F3A4D"/>
    <w:multiLevelType w:val="hybridMultilevel"/>
    <w:tmpl w:val="B384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5277"/>
    <w:multiLevelType w:val="hybridMultilevel"/>
    <w:tmpl w:val="A06AB4FA"/>
    <w:lvl w:ilvl="0" w:tplc="70FAB0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3556"/>
    <w:multiLevelType w:val="hybridMultilevel"/>
    <w:tmpl w:val="DC786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357A3C"/>
    <w:multiLevelType w:val="hybridMultilevel"/>
    <w:tmpl w:val="544A1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5B1129F"/>
    <w:multiLevelType w:val="hybridMultilevel"/>
    <w:tmpl w:val="0810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382892"/>
    <w:multiLevelType w:val="hybridMultilevel"/>
    <w:tmpl w:val="25AEE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F71575"/>
    <w:multiLevelType w:val="hybridMultilevel"/>
    <w:tmpl w:val="D30060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D021653"/>
    <w:multiLevelType w:val="hybridMultilevel"/>
    <w:tmpl w:val="6846E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6624D8"/>
    <w:multiLevelType w:val="hybridMultilevel"/>
    <w:tmpl w:val="46441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8270B5"/>
    <w:multiLevelType w:val="singleLevel"/>
    <w:tmpl w:val="5F40B5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59B3AA7"/>
    <w:multiLevelType w:val="hybridMultilevel"/>
    <w:tmpl w:val="B582C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F3656F"/>
    <w:multiLevelType w:val="hybridMultilevel"/>
    <w:tmpl w:val="63B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C0A30"/>
    <w:multiLevelType w:val="hybridMultilevel"/>
    <w:tmpl w:val="57B8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ED0CAD"/>
    <w:multiLevelType w:val="hybridMultilevel"/>
    <w:tmpl w:val="D5AC9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15"/>
  </w:num>
  <w:num w:numId="7">
    <w:abstractNumId w:val="17"/>
  </w:num>
  <w:num w:numId="8">
    <w:abstractNumId w:val="14"/>
  </w:num>
  <w:num w:numId="9">
    <w:abstractNumId w:val="16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 w:numId="15">
    <w:abstractNumId w:val="20"/>
  </w:num>
  <w:num w:numId="16">
    <w:abstractNumId w:val="19"/>
  </w:num>
  <w:num w:numId="17">
    <w:abstractNumId w:val="1"/>
  </w:num>
  <w:num w:numId="18">
    <w:abstractNumId w:val="10"/>
  </w:num>
  <w:num w:numId="19">
    <w:abstractNumId w:val="1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67"/>
    <w:rsid w:val="00005BC5"/>
    <w:rsid w:val="00010428"/>
    <w:rsid w:val="00033269"/>
    <w:rsid w:val="00037A54"/>
    <w:rsid w:val="0006259E"/>
    <w:rsid w:val="00065657"/>
    <w:rsid w:val="00090B6E"/>
    <w:rsid w:val="000E361A"/>
    <w:rsid w:val="000E7E48"/>
    <w:rsid w:val="00171F50"/>
    <w:rsid w:val="001B261F"/>
    <w:rsid w:val="001F3BA3"/>
    <w:rsid w:val="00225C64"/>
    <w:rsid w:val="00280B05"/>
    <w:rsid w:val="002C5215"/>
    <w:rsid w:val="002D3F1F"/>
    <w:rsid w:val="002D7BBF"/>
    <w:rsid w:val="003325DE"/>
    <w:rsid w:val="00397344"/>
    <w:rsid w:val="004018B7"/>
    <w:rsid w:val="0040359A"/>
    <w:rsid w:val="004179C9"/>
    <w:rsid w:val="00462EEC"/>
    <w:rsid w:val="004E07BA"/>
    <w:rsid w:val="004E2229"/>
    <w:rsid w:val="004E4002"/>
    <w:rsid w:val="00502EF8"/>
    <w:rsid w:val="0055369B"/>
    <w:rsid w:val="00571623"/>
    <w:rsid w:val="005B6BFE"/>
    <w:rsid w:val="005E3ACC"/>
    <w:rsid w:val="006656E3"/>
    <w:rsid w:val="00670D27"/>
    <w:rsid w:val="006B0D6D"/>
    <w:rsid w:val="006B2CDA"/>
    <w:rsid w:val="006B6904"/>
    <w:rsid w:val="006C1E52"/>
    <w:rsid w:val="0071556C"/>
    <w:rsid w:val="007252A2"/>
    <w:rsid w:val="00757FEC"/>
    <w:rsid w:val="00784985"/>
    <w:rsid w:val="007B0635"/>
    <w:rsid w:val="007F131A"/>
    <w:rsid w:val="00887447"/>
    <w:rsid w:val="008E3334"/>
    <w:rsid w:val="009A4701"/>
    <w:rsid w:val="009D23C2"/>
    <w:rsid w:val="009E4CEB"/>
    <w:rsid w:val="009E6134"/>
    <w:rsid w:val="00A35554"/>
    <w:rsid w:val="00A46280"/>
    <w:rsid w:val="00A83967"/>
    <w:rsid w:val="00A849E0"/>
    <w:rsid w:val="00AA47D6"/>
    <w:rsid w:val="00B00E53"/>
    <w:rsid w:val="00B64A2F"/>
    <w:rsid w:val="00B670A0"/>
    <w:rsid w:val="00BD40FD"/>
    <w:rsid w:val="00C113C9"/>
    <w:rsid w:val="00C15E30"/>
    <w:rsid w:val="00C727A5"/>
    <w:rsid w:val="00C96639"/>
    <w:rsid w:val="00CD006D"/>
    <w:rsid w:val="00CE6362"/>
    <w:rsid w:val="00D16FD0"/>
    <w:rsid w:val="00D60676"/>
    <w:rsid w:val="00D93779"/>
    <w:rsid w:val="00DE0AFC"/>
    <w:rsid w:val="00DF22A3"/>
    <w:rsid w:val="00E406DE"/>
    <w:rsid w:val="00E63A8F"/>
    <w:rsid w:val="00E656C6"/>
    <w:rsid w:val="00EB471C"/>
    <w:rsid w:val="00EB6BFC"/>
    <w:rsid w:val="00EC0975"/>
    <w:rsid w:val="00ED36EC"/>
    <w:rsid w:val="00EF36E7"/>
    <w:rsid w:val="00F1657B"/>
    <w:rsid w:val="00F349A1"/>
    <w:rsid w:val="00F43F82"/>
    <w:rsid w:val="00F507DA"/>
    <w:rsid w:val="00F80AC1"/>
    <w:rsid w:val="00F835B3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9B"/>
    <w:pPr>
      <w:spacing w:after="0" w:line="240" w:lineRule="auto"/>
      <w:ind w:left="720"/>
      <w:contextualSpacing/>
    </w:pPr>
    <w:rPr>
      <w:rFonts w:eastAsia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656E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4CEB"/>
    <w:pPr>
      <w:spacing w:after="0" w:line="240" w:lineRule="auto"/>
    </w:pPr>
    <w:rPr>
      <w:rFonts w:ascii="Trebuchet MS" w:eastAsia="Times New Roman" w:hAnsi="Trebuchet MS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E4CEB"/>
    <w:rPr>
      <w:rFonts w:ascii="Trebuchet MS" w:eastAsia="Times New Roman" w:hAnsi="Trebuchet MS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9E4CEB"/>
    <w:pPr>
      <w:spacing w:after="0" w:line="240" w:lineRule="auto"/>
    </w:pPr>
    <w:rPr>
      <w:rFonts w:ascii="Trebuchet MS" w:eastAsia="Times New Roman" w:hAnsi="Trebuchet MS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4CEB"/>
    <w:rPr>
      <w:rFonts w:ascii="Trebuchet MS" w:eastAsia="Times New Roman" w:hAnsi="Trebuchet MS"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9E4CEB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4"/>
  </w:style>
  <w:style w:type="paragraph" w:styleId="Footer">
    <w:name w:val="footer"/>
    <w:basedOn w:val="Normal"/>
    <w:link w:val="FooterChar"/>
    <w:uiPriority w:val="99"/>
    <w:unhideWhenUsed/>
    <w:rsid w:val="009E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4"/>
  </w:style>
  <w:style w:type="paragraph" w:styleId="BalloonText">
    <w:name w:val="Balloon Text"/>
    <w:basedOn w:val="Normal"/>
    <w:link w:val="BalloonTextChar"/>
    <w:uiPriority w:val="99"/>
    <w:semiHidden/>
    <w:unhideWhenUsed/>
    <w:rsid w:val="00F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C64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character" w:customStyle="1" w:styleId="newsstylescustom-sub-header-style">
    <w:name w:val="newsstylescustom-sub-header-style"/>
    <w:basedOn w:val="DefaultParagraphFont"/>
    <w:rsid w:val="00225C64"/>
  </w:style>
  <w:style w:type="character" w:customStyle="1" w:styleId="newsstylescustom-link">
    <w:name w:val="newsstylescustom-link"/>
    <w:basedOn w:val="DefaultParagraphFont"/>
    <w:rsid w:val="00225C64"/>
  </w:style>
  <w:style w:type="character" w:customStyle="1" w:styleId="newsstylescustom-welcome-headline-text">
    <w:name w:val="newsstylescustom-welcome-headline-text"/>
    <w:basedOn w:val="DefaultParagraphFont"/>
    <w:rsid w:val="00B00E53"/>
  </w:style>
  <w:style w:type="paragraph" w:styleId="EndnoteText">
    <w:name w:val="endnote text"/>
    <w:basedOn w:val="Normal"/>
    <w:link w:val="EndnoteTextChar"/>
    <w:uiPriority w:val="99"/>
    <w:semiHidden/>
    <w:unhideWhenUsed/>
    <w:rsid w:val="00E656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6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6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9B"/>
    <w:pPr>
      <w:spacing w:after="0" w:line="240" w:lineRule="auto"/>
      <w:ind w:left="720"/>
      <w:contextualSpacing/>
    </w:pPr>
    <w:rPr>
      <w:rFonts w:eastAsia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656E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4CEB"/>
    <w:pPr>
      <w:spacing w:after="0" w:line="240" w:lineRule="auto"/>
    </w:pPr>
    <w:rPr>
      <w:rFonts w:ascii="Trebuchet MS" w:eastAsia="Times New Roman" w:hAnsi="Trebuchet MS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E4CEB"/>
    <w:rPr>
      <w:rFonts w:ascii="Trebuchet MS" w:eastAsia="Times New Roman" w:hAnsi="Trebuchet MS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9E4CEB"/>
    <w:pPr>
      <w:spacing w:after="0" w:line="240" w:lineRule="auto"/>
    </w:pPr>
    <w:rPr>
      <w:rFonts w:ascii="Trebuchet MS" w:eastAsia="Times New Roman" w:hAnsi="Trebuchet MS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4CEB"/>
    <w:rPr>
      <w:rFonts w:ascii="Trebuchet MS" w:eastAsia="Times New Roman" w:hAnsi="Trebuchet MS"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9E4CEB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34"/>
  </w:style>
  <w:style w:type="paragraph" w:styleId="Footer">
    <w:name w:val="footer"/>
    <w:basedOn w:val="Normal"/>
    <w:link w:val="FooterChar"/>
    <w:uiPriority w:val="99"/>
    <w:unhideWhenUsed/>
    <w:rsid w:val="009E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34"/>
  </w:style>
  <w:style w:type="paragraph" w:styleId="BalloonText">
    <w:name w:val="Balloon Text"/>
    <w:basedOn w:val="Normal"/>
    <w:link w:val="BalloonTextChar"/>
    <w:uiPriority w:val="99"/>
    <w:semiHidden/>
    <w:unhideWhenUsed/>
    <w:rsid w:val="00FB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C64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character" w:customStyle="1" w:styleId="newsstylescustom-sub-header-style">
    <w:name w:val="newsstylescustom-sub-header-style"/>
    <w:basedOn w:val="DefaultParagraphFont"/>
    <w:rsid w:val="00225C64"/>
  </w:style>
  <w:style w:type="character" w:customStyle="1" w:styleId="newsstylescustom-link">
    <w:name w:val="newsstylescustom-link"/>
    <w:basedOn w:val="DefaultParagraphFont"/>
    <w:rsid w:val="00225C64"/>
  </w:style>
  <w:style w:type="character" w:customStyle="1" w:styleId="newsstylescustom-welcome-headline-text">
    <w:name w:val="newsstylescustom-welcome-headline-text"/>
    <w:basedOn w:val="DefaultParagraphFont"/>
    <w:rsid w:val="00B00E53"/>
  </w:style>
  <w:style w:type="paragraph" w:styleId="EndnoteText">
    <w:name w:val="endnote text"/>
    <w:basedOn w:val="Normal"/>
    <w:link w:val="EndnoteTextChar"/>
    <w:uiPriority w:val="99"/>
    <w:semiHidden/>
    <w:unhideWhenUsed/>
    <w:rsid w:val="00E656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6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6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7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divBdr>
          <w:divsChild>
            <w:div w:id="29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15" w:color="E4E4E4"/>
                    <w:bottom w:val="none" w:sz="0" w:space="0" w:color="auto"/>
                    <w:right w:val="none" w:sz="0" w:space="0" w:color="auto"/>
                  </w:divBdr>
                  <w:divsChild>
                    <w:div w:id="4898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5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25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divBdr>
          <w:divsChild>
            <w:div w:id="494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threeDEmboss" w:sz="6" w:space="15" w:color="E4E4E4"/>
                    <w:bottom w:val="none" w:sz="0" w:space="0" w:color="auto"/>
                    <w:right w:val="none" w:sz="0" w:space="0" w:color="auto"/>
                  </w:divBdr>
                  <w:divsChild>
                    <w:div w:id="1932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14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phardtinstitute@wustl.ed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DADAF061C3A46BE35D0E1AEB0D1BB" ma:contentTypeVersion="1" ma:contentTypeDescription="Create a new document." ma:contentTypeScope="" ma:versionID="e90160861ad929eb33eb800eace01e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1F22-CA93-4D49-A88E-EC07C6A35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98C18-0F8B-40F5-BBCA-61750F8B6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906CC-D2E7-4FB6-8151-0050D69861A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C736B5-C2F5-4436-8ED8-632582C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Jung</dc:creator>
  <cp:lastModifiedBy>Washington University in St. Louis</cp:lastModifiedBy>
  <cp:revision>3</cp:revision>
  <cp:lastPrinted>2009-12-07T19:58:00Z</cp:lastPrinted>
  <dcterms:created xsi:type="dcterms:W3CDTF">2017-03-21T18:26:00Z</dcterms:created>
  <dcterms:modified xsi:type="dcterms:W3CDTF">2017-03-21T18:30:00Z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0x010100782DADAF061C3A46BE35D0E1AEB0D1BB</vt:lpwstr>
  </property>
</Properties>
</file>